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Title"/>
      </w:pPr>
      <w:bookmarkStart w:name="_ufqljf92j7qt" w:id="0"/>
      <w:r>
        <w:rPr>
          <w:rStyle w:val="None A"/>
          <w:rtl w:val="0"/>
          <w:lang w:val="en-US"/>
        </w:rPr>
        <w:t>Физика</w:t>
      </w:r>
      <w:r>
        <w:rPr>
          <w:rStyle w:val="None A"/>
          <w:rtl w:val="0"/>
          <w:lang w:val="en-US"/>
        </w:rPr>
        <w:t>.</w:t>
      </w:r>
      <w:r>
        <w:rPr>
          <w:rStyle w:val="None A"/>
          <w:rtl w:val="0"/>
          <w:lang w:val="en-US"/>
        </w:rPr>
        <w:t>Магнетизм</w:t>
      </w:r>
      <w:bookmarkEnd w:id="0"/>
    </w:p>
    <w:p>
      <w:pPr>
        <w:pStyle w:val="Subtitle"/>
      </w:pPr>
      <w:bookmarkStart w:name="_djj8fasty2y" w:id="1"/>
      <w:r>
        <w:rPr>
          <w:rStyle w:val="None A"/>
          <w:rFonts w:cs="Arial Unicode MS" w:eastAsia="Arial Unicode MS" w:hint="default"/>
          <w:rtl w:val="0"/>
          <w:lang w:val="en-US"/>
        </w:rPr>
        <w:t>Краткая спецификация и техтребования</w:t>
      </w:r>
    </w:p>
    <w:p>
      <w:pPr>
        <w:pStyle w:val="Body A"/>
      </w:pPr>
    </w:p>
    <w:p>
      <w:pPr>
        <w:pStyle w:val="Body A"/>
        <w:tabs>
          <w:tab w:val="right" w:pos="9340"/>
        </w:tabs>
        <w:spacing w:before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Краткое описание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"bookmark1"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Ключевые возможности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"bookmark2"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Состав поставки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"bookmark3"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Технические требования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5</w:t>
      </w:r>
    </w:p>
    <w:p>
      <w:pPr>
        <w:pStyle w:val="Body A"/>
        <w:tabs>
          <w:tab w:val="right" w:pos="9340"/>
        </w:tabs>
        <w:spacing w:before="200" w:after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"bookmark4"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Контакты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5</w:t>
      </w:r>
    </w:p>
    <w:p>
      <w:pPr>
        <w:pStyle w:val="Body A"/>
      </w:pPr>
      <w:bookmarkEnd w:id="1"/>
    </w:p>
    <w:p>
      <w:pPr>
        <w:pStyle w:val="Heading"/>
      </w:pPr>
      <w:bookmarkStart w:name="_t98uex42x76k1" w:id="2"/>
      <w:r>
        <w:rPr>
          <w:rStyle w:val="None"/>
          <w:rFonts w:cs="Arial Unicode MS" w:eastAsia="Arial Unicode MS" w:hint="default"/>
          <w:rtl w:val="0"/>
          <w:lang w:val="ru-RU"/>
        </w:rPr>
        <w:t>Краткое описание</w:t>
      </w:r>
    </w:p>
    <w:p>
      <w:pPr>
        <w:pStyle w:val="Body A"/>
      </w:pP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 xml:space="preserve">курс по физике “Магнетизм” – обучающий комплекс для подготовки учащихся </w:t>
      </w:r>
      <w:r>
        <w:rPr>
          <w:rStyle w:val="None A"/>
          <w:rtl w:val="0"/>
        </w:rPr>
        <w:t xml:space="preserve">8-9 </w:t>
      </w:r>
      <w:r>
        <w:rPr>
          <w:rStyle w:val="None"/>
          <w:rtl w:val="0"/>
          <w:lang w:val="ru-RU"/>
        </w:rPr>
        <w:t>классов по темам магнетизма и электромагнитной индукции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Позволяет изучить явления в пространстве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понять связь видимых действий с невидимыми феноменами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Благодаря системе микроуроков позволяет гибко организовывать учебный процесс при первичном изучении материала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повторении и подготовке к экзамену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>Видеоролик</w:t>
      </w:r>
      <w:r>
        <w:rPr>
          <w:rStyle w:val="None A"/>
          <w:rtl w:val="0"/>
        </w:rPr>
        <w:t xml:space="preserve">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"https://youtu.be/GwkElcQDgSk"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https://youtu.be/GwkElcQDgSk</w:t>
      </w:r>
      <w:r>
        <w:rPr/>
        <w:fldChar w:fldCharType="end" w:fldLock="0"/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Продукт успешно прошел экспертизу РАО и может быть рекомендован для использования в образовательных учреждениях как вспомогательный инструмент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В курсе представлены три типа микроуроков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теория – изучение материала с трёхмерными визуализациями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2"/>
        </w:numPr>
      </w:pPr>
      <w:r>
        <w:rPr>
          <w:rStyle w:val="None A"/>
          <w:rtl w:val="0"/>
        </w:rPr>
        <w:t>практика – решение заданий с подсказками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тренировка – решение заданий без подсказок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Heading"/>
      </w:pPr>
      <w:r>
        <w:rPr>
          <w:rStyle w:val="None"/>
          <w:rFonts w:cs="Arial Unicode MS" w:eastAsia="Arial Unicode MS" w:hint="default"/>
          <w:rtl w:val="0"/>
          <w:lang w:val="ru-RU"/>
        </w:rPr>
        <w:t>Ключевые возможности</w:t>
      </w:r>
    </w:p>
    <w:p>
      <w:pPr>
        <w:pStyle w:val="Body A"/>
      </w:pPr>
      <w:r>
        <w:rPr>
          <w:rStyle w:val="None"/>
          <w:rtl w:val="0"/>
          <w:lang w:val="ru-RU"/>
        </w:rPr>
        <w:t>Для учащегося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Наглядное объяснение физических явлений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Динамичное повествование – виртуальный рассказчик приводит примеры и уменьшает пользователя в отдельные моменты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чтобы поддерживать интерес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Интерактивные задачи – позволяют изучить необходимый материал в увлекательном формате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Для учителей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Безопасная работа с электричеством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Наличие практических заданий ориентированных на подготовку к экзамену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Микроуроки гибко встраиваются в различные методики и этапы проведения занятий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Визуализация опытов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которые сложно показать в школьном кабинете</w:t>
      </w:r>
      <w:r>
        <w:rPr>
          <w:rStyle w:val="None A"/>
          <w:rtl w:val="0"/>
        </w:rPr>
        <w:t>;</w:t>
      </w:r>
      <w:bookmarkEnd w:id="2"/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</w:rPr>
      </w:pPr>
      <w:bookmarkStart w:name="_rqwt3md6z6v2" w:id="3"/>
      <w:r>
        <w:rPr>
          <w:rStyle w:val="None"/>
          <w:rtl w:val="0"/>
          <w:lang w:val="ru-RU"/>
        </w:rPr>
        <w:t xml:space="preserve">Доступность использования для детей на домашнем обучении благодаря простоте и мобильности автономных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шлемов</w:t>
      </w:r>
      <w:r>
        <w:rPr>
          <w:rStyle w:val="None"/>
          <w:rtl w:val="0"/>
          <w:lang w:val="en-US"/>
        </w:rPr>
        <w:t>.</w:t>
      </w:r>
      <w:bookmarkEnd w:id="3"/>
      <w:bookmarkStart w:name="_rqwt3md6z6v1" w:id="4"/>
    </w:p>
    <w:p>
      <w:pPr>
        <w:pStyle w:val="Body A"/>
      </w:pPr>
      <w:bookmarkEnd w:id="4"/>
    </w:p>
    <w:p>
      <w:pPr>
        <w:pStyle w:val="Heading"/>
      </w:pPr>
      <w:bookmarkStart w:name="_t5l7n0sdowyf1" w:id="5"/>
      <w:r>
        <w:rPr>
          <w:rStyle w:val="None"/>
          <w:rFonts w:cs="Arial Unicode MS" w:eastAsia="Arial Unicode MS" w:hint="default"/>
          <w:rtl w:val="0"/>
          <w:lang w:val="ru-RU"/>
        </w:rPr>
        <w:t>Состав поставки</w:t>
      </w:r>
    </w:p>
    <w:p>
      <w:pPr>
        <w:pStyle w:val="Body A"/>
      </w:pPr>
      <w:r>
        <w:rPr>
          <w:rStyle w:val="None"/>
          <w:rtl w:val="0"/>
          <w:lang w:val="ru-RU"/>
        </w:rPr>
        <w:t>Обучающий комплекс включает в себя уроки по всем основным разделам по теме “Магнетизм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Электромагнитная индукция” в основном общем образовании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ru-RU"/>
        </w:rPr>
        <w:t>Теория</w:t>
      </w:r>
    </w:p>
    <w:p>
      <w:pPr>
        <w:pStyle w:val="Body A"/>
        <w:numPr>
          <w:ilvl w:val="0"/>
          <w:numId w:val="8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Постоянные магниты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опыт Ампера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опыт Эрстеда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8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Правило правой руки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 xml:space="preserve">правило правой руки для катушки </w:t>
      </w:r>
      <w:r>
        <w:rPr>
          <w:rStyle w:val="None A"/>
          <w:rtl w:val="0"/>
        </w:rPr>
        <w:t>(</w:t>
      </w:r>
      <w:r>
        <w:rPr>
          <w:rStyle w:val="None"/>
          <w:rtl w:val="0"/>
          <w:lang w:val="ru-RU"/>
        </w:rPr>
        <w:t>соленоида</w:t>
      </w:r>
      <w:r>
        <w:rPr>
          <w:rStyle w:val="None A"/>
          <w:rtl w:val="0"/>
        </w:rPr>
        <w:t>).</w:t>
      </w:r>
    </w:p>
    <w:p>
      <w:pPr>
        <w:pStyle w:val="Body A"/>
        <w:numPr>
          <w:ilvl w:val="0"/>
          <w:numId w:val="8"/>
        </w:numPr>
        <w:jc w:val="both"/>
      </w:pPr>
      <w:r>
        <w:rPr>
          <w:rStyle w:val="None A"/>
          <w:rtl w:val="0"/>
        </w:rPr>
        <w:t>Сила Ампера</w:t>
      </w:r>
      <w:r>
        <w:rPr>
          <w:rStyle w:val="None A"/>
          <w:rtl w:val="0"/>
        </w:rPr>
        <w:t xml:space="preserve">, </w:t>
      </w:r>
      <w:r>
        <w:rPr>
          <w:rStyle w:val="None A"/>
          <w:rtl w:val="0"/>
        </w:rPr>
        <w:t>правило левой руки и сила Лоренца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8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Опыт Фарадея</w:t>
      </w:r>
      <w:r>
        <w:rPr>
          <w:rStyle w:val="None A"/>
          <w:rtl w:val="0"/>
        </w:rPr>
        <w:t xml:space="preserve">, </w:t>
      </w:r>
      <w:r>
        <w:rPr>
          <w:rStyle w:val="None A"/>
          <w:rtl w:val="0"/>
        </w:rPr>
        <w:t>правило Ленца</w:t>
      </w:r>
      <w:r>
        <w:rPr>
          <w:rStyle w:val="None A"/>
          <w:rtl w:val="0"/>
        </w:rPr>
        <w:t>.</w:t>
      </w:r>
    </w:p>
    <w:p>
      <w:pPr>
        <w:pStyle w:val="Body A"/>
        <w:jc w:val="both"/>
        <w:rPr>
          <w:rStyle w:val="None"/>
          <w:b w:val="1"/>
          <w:bCs w:val="1"/>
        </w:rPr>
      </w:pP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Практика</w:t>
      </w:r>
    </w:p>
    <w:p>
      <w:pPr>
        <w:pStyle w:val="Body A"/>
        <w:numPr>
          <w:ilvl w:val="0"/>
          <w:numId w:val="10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Правило правой руки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0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Опыт Эрстеда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0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Правило левой руки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0"/>
        </w:numPr>
        <w:jc w:val="both"/>
      </w:pPr>
      <w:r>
        <w:rPr>
          <w:rStyle w:val="None A"/>
          <w:rtl w:val="0"/>
        </w:rPr>
        <w:t>Сила Лоренца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0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Опыт Фарадей</w:t>
      </w:r>
      <w:r>
        <w:rPr>
          <w:rStyle w:val="None A"/>
          <w:rtl w:val="0"/>
        </w:rPr>
        <w:t>.</w:t>
      </w:r>
    </w:p>
    <w:p>
      <w:pPr>
        <w:pStyle w:val="Body A"/>
        <w:jc w:val="both"/>
        <w:rPr>
          <w:rStyle w:val="None"/>
          <w:b w:val="1"/>
          <w:bCs w:val="1"/>
        </w:rPr>
      </w:pP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Тренировка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Правило правой руки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Опыт Эрстеда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Правило левой руки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2"/>
        </w:numPr>
        <w:jc w:val="both"/>
      </w:pPr>
      <w:r>
        <w:rPr>
          <w:rStyle w:val="None A"/>
          <w:rtl w:val="0"/>
        </w:rPr>
        <w:t>Сила Лоренца</w:t>
      </w:r>
      <w:r>
        <w:rPr>
          <w:rStyle w:val="None A"/>
          <w:rtl w:val="0"/>
        </w:rPr>
        <w:t>.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rtl w:val="0"/>
          <w:lang w:val="ru-RU"/>
        </w:rPr>
      </w:pPr>
      <w:r>
        <w:rPr>
          <w:rStyle w:val="None"/>
          <w:rtl w:val="0"/>
          <w:lang w:val="ru-RU"/>
        </w:rPr>
        <w:t>Опыт Фарадей</w:t>
      </w:r>
      <w:r>
        <w:rPr>
          <w:rStyle w:val="None A"/>
          <w:rtl w:val="0"/>
        </w:rPr>
        <w:t>.</w:t>
      </w:r>
    </w:p>
    <w:p>
      <w:pPr>
        <w:pStyle w:val="Body A"/>
        <w:jc w:val="both"/>
      </w:pP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5943600" cy="2971800"/>
            <wp:effectExtent l="0" t="0" r="0" b="0"/>
            <wp:docPr id="1073741827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  <w:r>
        <w:rPr>
          <w:rStyle w:val="None"/>
          <w:rtl w:val="0"/>
          <w:lang w:val="ru-RU"/>
        </w:rPr>
        <w:t>Визуальный стиль виртуальной лаборатории и элементов окружения</w:t>
      </w:r>
    </w:p>
    <w:p>
      <w:pPr>
        <w:pStyle w:val="Body A"/>
      </w:pP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5943600" cy="2971800"/>
            <wp:effectExtent l="0" t="0" r="0" b="0"/>
            <wp:docPr id="1073741828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  <w:r>
        <w:rPr>
          <w:rStyle w:val="None A"/>
          <w:rtl w:val="0"/>
        </w:rPr>
        <w:t>Анимация демонстрации правила левой руки</w:t>
      </w:r>
    </w:p>
    <w:p>
      <w:pPr>
        <w:pStyle w:val="Body A"/>
      </w:pP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2881316" cy="1426580"/>
            <wp:effectExtent l="0" t="0" r="0" b="0"/>
            <wp:docPr id="1073741829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316" cy="14265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 xmlns:a="http://schemas.openxmlformats.org/drawingml/2006/main">
          <wp:inline distT="0" distB="0" distL="0" distR="0">
            <wp:extent cx="2909891" cy="1432967"/>
            <wp:effectExtent l="0" t="0" r="0" b="0"/>
            <wp:docPr id="1073741830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891" cy="14329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  <w:r>
        <w:rPr>
          <w:rStyle w:val="None"/>
          <w:rtl w:val="0"/>
          <w:lang w:val="ru-RU"/>
        </w:rPr>
        <w:t>Изменение масштаба окружения для более наглядной демонстрации действия магнитного поля в блоке теории</w:t>
      </w: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2900366" cy="2900366"/>
            <wp:effectExtent l="0" t="0" r="0" b="0"/>
            <wp:docPr id="1073741831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366" cy="2900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 A"/>
        </w:rPr>
        <w:drawing xmlns:a="http://schemas.openxmlformats.org/drawingml/2006/main">
          <wp:inline distT="0" distB="0" distL="0" distR="0">
            <wp:extent cx="2900366" cy="2900366"/>
            <wp:effectExtent l="0" t="0" r="0" b="0"/>
            <wp:docPr id="1073741832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366" cy="29003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  <w:r>
        <w:rPr>
          <w:rStyle w:val="None"/>
          <w:rtl w:val="0"/>
          <w:lang w:val="ru-RU"/>
        </w:rPr>
        <w:t xml:space="preserve">Описание задачи в блоке практики и выбор с помощью контроллера интерактивных элементов для установки в цепи </w:t>
      </w:r>
      <w:r>
        <w:rPr>
          <w:rStyle w:val="None A"/>
          <w:rtl w:val="0"/>
        </w:rPr>
        <w:t>(</w:t>
      </w:r>
      <w:r>
        <w:rPr>
          <w:rStyle w:val="None A"/>
          <w:rtl w:val="0"/>
        </w:rPr>
        <w:t>блок практики</w:t>
      </w:r>
      <w:r>
        <w:rPr>
          <w:rStyle w:val="None A"/>
          <w:rtl w:val="0"/>
        </w:rPr>
        <w:t>)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Heading"/>
      </w:pPr>
      <w:r>
        <w:rPr>
          <w:rStyle w:val="None"/>
          <w:rFonts w:cs="Arial Unicode MS" w:eastAsia="Arial Unicode MS" w:hint="default"/>
          <w:rtl w:val="0"/>
          <w:lang w:val="ru-RU"/>
        </w:rPr>
        <w:t>Технические требования</w:t>
      </w:r>
      <w:bookmarkEnd w:id="5"/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tl w:val="0"/>
        </w:rPr>
      </w:pPr>
      <w:bookmarkStart w:name="_ooac5ng9upst2" w:id="6"/>
      <w:r>
        <w:rPr>
          <w:rStyle w:val="None"/>
          <w:rtl w:val="0"/>
          <w:lang w:val="ru-RU"/>
        </w:rPr>
        <w:t>Поддержка мобильных шлемов виртуальной реальности</w:t>
      </w:r>
      <w:r>
        <w:rPr>
          <w:rStyle w:val="None"/>
          <w:rtl w:val="0"/>
          <w:lang w:val="ru-RU"/>
        </w:rPr>
        <w:t>:</w:t>
      </w:r>
    </w:p>
    <w:p>
      <w:pPr>
        <w:pStyle w:val="Body A"/>
        <w:numPr>
          <w:ilvl w:val="1"/>
          <w:numId w:val="1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Vive (Focus, Focus Plus, Focus 3);</w:t>
      </w:r>
    </w:p>
    <w:p>
      <w:pPr>
        <w:pStyle w:val="Body A"/>
        <w:numPr>
          <w:ilvl w:val="1"/>
          <w:numId w:val="1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Pico (G2 4k, Neo 2, Neo 3</w:t>
      </w:r>
      <w:r>
        <w:rPr>
          <w:rStyle w:val="None"/>
          <w:rtl w:val="0"/>
          <w:lang w:val="ru-RU"/>
        </w:rPr>
        <w:t xml:space="preserve">, </w:t>
      </w:r>
      <w:r>
        <w:rPr>
          <w:rStyle w:val="None"/>
          <w:rtl w:val="0"/>
          <w:lang w:val="en-US"/>
        </w:rPr>
        <w:t>Pico 4</w:t>
      </w:r>
      <w:r>
        <w:rPr>
          <w:rStyle w:val="None"/>
          <w:rtl w:val="0"/>
          <w:lang w:val="ru-RU"/>
        </w:rPr>
        <w:t>).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Поддержка стационарных шлемов виртуальной реальности</w:t>
      </w:r>
      <w:r>
        <w:rPr>
          <w:rStyle w:val="None"/>
          <w:rtl w:val="0"/>
          <w:lang w:val="ru-RU"/>
        </w:rPr>
        <w:t>:</w:t>
      </w:r>
    </w:p>
    <w:p>
      <w:pPr>
        <w:pStyle w:val="Body A"/>
        <w:numPr>
          <w:ilvl w:val="1"/>
          <w:numId w:val="1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HTC Vive (Vive, Vive Pro, Vive Pro Eye, Cosmos).</w:t>
      </w:r>
    </w:p>
    <w:p>
      <w:pPr>
        <w:pStyle w:val="Body A"/>
        <w:numPr>
          <w:ilvl w:val="0"/>
          <w:numId w:val="1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Возможна адаптация для других моделей</w:t>
      </w:r>
    </w:p>
    <w:p>
      <w:pPr>
        <w:pStyle w:val="Body A"/>
      </w:pPr>
    </w:p>
    <w:p>
      <w:pPr>
        <w:pStyle w:val="Body A"/>
        <w:numPr>
          <w:ilvl w:val="0"/>
          <w:numId w:val="1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Для активации приложения требуется доступ в интернет</w:t>
      </w:r>
      <w:r>
        <w:rPr>
          <w:rStyle w:val="None A"/>
          <w:rtl w:val="0"/>
        </w:rPr>
        <w:t>.</w:t>
      </w:r>
      <w:bookmarkEnd w:id="6"/>
      <w:bookmarkStart w:name="_ooac5ng9upst1" w:id="7"/>
    </w:p>
    <w:p>
      <w:pPr>
        <w:pStyle w:val="Body A"/>
      </w:pPr>
      <w:bookmarkEnd w:id="7"/>
    </w:p>
    <w:p>
      <w:pPr>
        <w:pStyle w:val="Heading"/>
      </w:pPr>
      <w:bookmarkStart w:name="_ees0psgpf0mc1" w:id="8"/>
      <w:r>
        <w:rPr>
          <w:rStyle w:val="None"/>
          <w:rFonts w:cs="Arial Unicode MS" w:eastAsia="Arial Unicode MS" w:hint="default"/>
          <w:rtl w:val="0"/>
          <w:lang w:val="ru-RU"/>
        </w:rPr>
        <w:t>Контакты</w:t>
      </w:r>
    </w:p>
    <w:p>
      <w:pPr>
        <w:pStyle w:val="Body A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"https://modumlab.com/education"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https://modumlab.com/education</w:t>
      </w:r>
      <w:r>
        <w:rPr/>
        <w:fldChar w:fldCharType="end" w:fldLock="0"/>
      </w:r>
    </w:p>
    <w:p>
      <w:pPr>
        <w:pStyle w:val="Body A"/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"mailto:edu@modumlab.com"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edu@modumlab.com</w:t>
      </w:r>
      <w:r>
        <w:rPr/>
        <w:fldChar w:fldCharType="end" w:fldLock="0"/>
      </w:r>
    </w:p>
    <w:p>
      <w:pPr>
        <w:pStyle w:val="Body A"/>
      </w:pPr>
      <w:r>
        <w:rPr>
          <w:rStyle w:val="None A"/>
          <w:rtl w:val="0"/>
        </w:rPr>
        <w:t>+7 812 317-70-85</w:t>
      </w:r>
      <w:bookmarkEnd w:id="8"/>
    </w:p>
    <w:sectPr>
      <w:headerReference w:type="default" r:id="rId10"/>
      <w:footerReference w:type="default" r:id="rId11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</w:pPr>
    <w:r>
      <w:rPr>
        <w:rStyle w:val="None A"/>
      </w:rPr>
      <w:drawing xmlns:a="http://schemas.openxmlformats.org/drawingml/2006/main">
        <wp:inline distT="0" distB="0" distL="0" distR="0">
          <wp:extent cx="5943600" cy="771527"/>
          <wp:effectExtent l="0" t="0" r="0" b="0"/>
          <wp:docPr id="1073741826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20399" r="0" b="20403"/>
                  <a:stretch>
                    <a:fillRect/>
                  </a:stretch>
                </pic:blipFill>
                <pic:spPr>
                  <a:xfrm>
                    <a:off x="0" y="0"/>
                    <a:ext cx="5943600" cy="7715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spacing w:line="240" w:lineRule="auto"/>
    </w:pPr>
    <w:r>
      <w:rPr>
        <w:rStyle w:val="None A"/>
      </w:rPr>
      <w:drawing xmlns:a="http://schemas.openxmlformats.org/drawingml/2006/main">
        <wp:inline distT="0" distB="0" distL="0" distR="0">
          <wp:extent cx="5943600" cy="1300061"/>
          <wp:effectExtent l="0" t="0" r="0" b="0"/>
          <wp:docPr id="1073741825" name="officeArt object" descr="Изображе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Изображение" descr="Изображение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0006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5.0"/>
  </w:abstractNum>
  <w:abstractNum w:abstractNumId="13">
    <w:multiLevelType w:val="hybridMultilevel"/>
    <w:styleLink w:val="Imported Style 5.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6.0"/>
  </w:abstractNum>
  <w:abstractNum w:abstractNumId="15">
    <w:multiLevelType w:val="hybridMultilevel"/>
    <w:styleLink w:val="Imported Style 6.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Title">
    <w:name w:val="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2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30"/>
      <w:szCs w:val="30"/>
      <w:u w:val="none" w:color="666666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666666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b w:val="1"/>
      <w:bCs w:val="1"/>
      <w:caps w:val="0"/>
      <w:smallCaps w:val="0"/>
      <w:strike w:val="0"/>
      <w:dstrike w:val="0"/>
      <w:outline w:val="0"/>
      <w:color w:val="666666"/>
      <w:u w:val="none" w:color="666666"/>
      <w:shd w:val="clear" w:color="auto" w:fill="ffffff"/>
      <w:vertAlign w:val="baseline"/>
      <w:lang w:val="en-US"/>
      <w14:textFill>
        <w14:solidFill>
          <w14:srgbClr w14:val="666666"/>
        </w14:solidFill>
      </w14:textFill>
    </w:rPr>
  </w:style>
  <w:style w:type="paragraph" w:styleId="Heading">
    <w:name w:val="Heading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1155cc"/>
      <w:u w:val="single" w:color="1155cc"/>
      <w:lang w:val="en-US"/>
      <w14:textFill>
        <w14:solidFill>
          <w14:srgbClr w14:val="1155CC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5.0">
    <w:name w:val="Imported Style 5.0"/>
    <w:pPr>
      <w:numPr>
        <w:numId w:val="13"/>
      </w:numPr>
    </w:pPr>
  </w:style>
  <w:style w:type="numbering" w:styleId="Imported Style 6.0">
    <w:name w:val="Imported Style 6.0"/>
    <w:pPr>
      <w:numPr>
        <w:numId w:val="15"/>
      </w:numPr>
    </w:pPr>
  </w:style>
  <w:style w:type="character" w:styleId="Hyperlink.2">
    <w:name w:val="Hyperlink.2"/>
    <w:basedOn w:val="None"/>
    <w:next w:val="Hyperlink.2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